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51" w:rsidRPr="00805851" w:rsidRDefault="00805851" w:rsidP="00805851">
      <w:pPr>
        <w:spacing w:after="0" w:line="240" w:lineRule="auto"/>
        <w:textAlignment w:val="baseline"/>
        <w:outlineLvl w:val="0"/>
        <w:rPr>
          <w:rFonts w:eastAsia="Times New Roman" w:cstheme="minorHAnsi"/>
          <w:kern w:val="36"/>
          <w:sz w:val="48"/>
          <w:szCs w:val="48"/>
          <w:lang w:eastAsia="nb-NO"/>
        </w:rPr>
      </w:pPr>
      <w:r w:rsidRPr="00805851">
        <w:rPr>
          <w:rFonts w:eastAsia="Times New Roman" w:cstheme="minorHAnsi"/>
          <w:kern w:val="36"/>
          <w:sz w:val="48"/>
          <w:szCs w:val="48"/>
          <w:lang w:eastAsia="nb-NO"/>
        </w:rPr>
        <w:t xml:space="preserve">Åpenhetsloven og </w:t>
      </w:r>
      <w:r>
        <w:rPr>
          <w:rFonts w:eastAsia="Times New Roman" w:cstheme="minorHAnsi"/>
          <w:kern w:val="36"/>
          <w:sz w:val="48"/>
          <w:szCs w:val="48"/>
          <w:lang w:eastAsia="nb-NO"/>
        </w:rPr>
        <w:t>Trigger Jobb AS</w:t>
      </w:r>
    </w:p>
    <w:p w:rsidR="00597854" w:rsidRDefault="00597854" w:rsidP="00805851">
      <w:pPr>
        <w:spacing w:line="240" w:lineRule="auto"/>
        <w:textAlignment w:val="baseline"/>
        <w:rPr>
          <w:rFonts w:eastAsia="Times New Roman" w:cstheme="minorHAnsi"/>
          <w:color w:val="000000"/>
          <w:sz w:val="30"/>
          <w:szCs w:val="30"/>
          <w:lang w:eastAsia="nb-NO"/>
        </w:rPr>
      </w:pPr>
    </w:p>
    <w:p w:rsidR="00805851" w:rsidRPr="00805851" w:rsidRDefault="00805851" w:rsidP="00805851">
      <w:pPr>
        <w:spacing w:line="240" w:lineRule="auto"/>
        <w:textAlignment w:val="baseline"/>
        <w:rPr>
          <w:rFonts w:eastAsia="Times New Roman" w:cstheme="minorHAnsi"/>
          <w:color w:val="000000"/>
          <w:sz w:val="30"/>
          <w:szCs w:val="30"/>
          <w:lang w:eastAsia="nb-NO"/>
        </w:rPr>
      </w:pPr>
      <w:r w:rsidRPr="00805851">
        <w:rPr>
          <w:rFonts w:eastAsia="Times New Roman" w:cstheme="minorHAnsi"/>
          <w:color w:val="000000"/>
          <w:sz w:val="30"/>
          <w:szCs w:val="30"/>
          <w:lang w:eastAsia="nb-NO"/>
        </w:rPr>
        <w:t>Åpenhetsloven er en ny lov vedtatt av Stortinget, som trådte i kraft 1. juli 2022. Loven skal fremme virksomheters respekt for menneskerettigheter og anstendige arbeidsforhold.</w:t>
      </w:r>
    </w:p>
    <w:p w:rsidR="00805851" w:rsidRDefault="00805851" w:rsidP="00805851">
      <w:pPr>
        <w:spacing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I det følgende vil vi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gi en generell beskrivelse av Triggers 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strategi for bærekraft og samfunnsansvar, herunder arbeidet med FNs </w:t>
      </w:r>
      <w:proofErr w:type="spellStart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bærekraftsmål</w:t>
      </w:r>
      <w:proofErr w:type="spellEnd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hvordan disse er integrert i vår virksomhetsstrategi. Dette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arbeidet danner grunnlaget for Triggers 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håndtering av faktiske og mulig negative konsekvenser for arbeidsforhold og menneskerettigheter i egen virksomhet og i leverandørkjeden; altså virksomhetens aktsomhetsvurderinger. </w:t>
      </w:r>
    </w:p>
    <w:p w:rsidR="00821EE3" w:rsidRDefault="00821EE3" w:rsidP="00805851">
      <w:pPr>
        <w:spacing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21EE3" w:rsidRPr="00805851" w:rsidRDefault="00821EE3" w:rsidP="00805851">
      <w:pPr>
        <w:spacing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05851" w:rsidRPr="00805851" w:rsidRDefault="00805851" w:rsidP="00805851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48"/>
          <w:szCs w:val="48"/>
          <w:lang w:eastAsia="nb-NO"/>
        </w:rPr>
      </w:pPr>
      <w:r w:rsidRPr="00805851">
        <w:rPr>
          <w:rFonts w:eastAsia="Times New Roman" w:cstheme="minorHAnsi"/>
          <w:color w:val="000000"/>
          <w:kern w:val="36"/>
          <w:sz w:val="48"/>
          <w:szCs w:val="48"/>
          <w:lang w:eastAsia="nb-NO"/>
        </w:rPr>
        <w:t>1 Generelt om bære</w:t>
      </w:r>
      <w:r>
        <w:rPr>
          <w:rFonts w:eastAsia="Times New Roman" w:cstheme="minorHAnsi"/>
          <w:color w:val="000000"/>
          <w:kern w:val="36"/>
          <w:sz w:val="48"/>
          <w:szCs w:val="48"/>
          <w:lang w:eastAsia="nb-NO"/>
        </w:rPr>
        <w:t>kraft og samfunnsansvar i Trigger Jobb AS</w:t>
      </w:r>
    </w:p>
    <w:p w:rsidR="00805851" w:rsidRPr="00805851" w:rsidRDefault="00805851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 xml:space="preserve">FNs </w:t>
      </w:r>
      <w:proofErr w:type="spellStart"/>
      <w:r w:rsidRPr="00805851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>Bærekraftsmål</w:t>
      </w:r>
      <w:proofErr w:type="spellEnd"/>
    </w:p>
    <w:p w:rsidR="00805851" w:rsidRP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FNs </w:t>
      </w:r>
      <w:proofErr w:type="spellStart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bærekraftsmål</w:t>
      </w:r>
      <w:proofErr w:type="spellEnd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er verdens felles arbeidsplan for å utrydde fattigdom, bekjempe ulikhet og stoppe klimaendringene innen 2030. FNs </w:t>
      </w:r>
      <w:proofErr w:type="spellStart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bærekraftsmål</w:t>
      </w:r>
      <w:proofErr w:type="spellEnd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består av 17 mål og 169 delmål. Målene skal fungere som en felles global retning for land, næringsliv og sivilsamfunn. I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Trigger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jobber vi for positiv innvirkning på målene, da gjennom vårt arbeid med å fremme mobilitetsløsninger for fremtiden og å bidra til et bærekraftig samfunn. </w:t>
      </w:r>
    </w:p>
    <w:p w:rsid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Trigger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består av flere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avdelinger</w:t>
      </w:r>
      <w:r w:rsidR="00821EE3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på </w:t>
      </w:r>
      <w:r w:rsidR="0059785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både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Askøy og på Straume, 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med ulik grad av påvirkningskraft på aktuelle mål.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Trigger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59785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har 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vurdert hvilke mål som er mest relevant for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vår bedrift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I forbindelse med dette arbeidet er det identifisert ni områder som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Trigger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vurderer å ha særskilt påvirkningskraft på.</w:t>
      </w:r>
    </w:p>
    <w:p w:rsid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67AB4408" wp14:editId="3C98F4D8">
            <wp:extent cx="3124200" cy="14382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E969897" wp14:editId="49AA9D12">
            <wp:extent cx="2124075" cy="19907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E3" w:rsidRDefault="00821EE3" w:rsidP="00805851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</w:pPr>
    </w:p>
    <w:p w:rsidR="00821EE3" w:rsidRDefault="00821EE3" w:rsidP="00805851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</w:pPr>
    </w:p>
    <w:p w:rsidR="00805851" w:rsidRPr="00805851" w:rsidRDefault="00805851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lastRenderedPageBreak/>
        <w:t>Bærekraft – en del av virksomhetsstrategien</w:t>
      </w:r>
    </w:p>
    <w:p w:rsidR="00821EE3" w:rsidRDefault="007E78E8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Trigger er en sertifisert </w:t>
      </w:r>
      <w:r w:rsidRPr="007E78E8">
        <w:rPr>
          <w:rFonts w:eastAsia="Times New Roman" w:cstheme="minorHAnsi"/>
          <w:color w:val="000000"/>
          <w:sz w:val="24"/>
          <w:szCs w:val="24"/>
          <w:lang w:eastAsia="nb-NO"/>
        </w:rPr>
        <w:t>Miljøfyrtårn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bedrift. Gjennom dette miljøarbeidet jobber Trigger med bærekraft innen områder som arbeidsmiljø, </w:t>
      </w:r>
      <w:r w:rsidRPr="007E78E8">
        <w:rPr>
          <w:rFonts w:eastAsia="Times New Roman" w:cstheme="minorHAnsi"/>
          <w:color w:val="000000"/>
          <w:sz w:val="24"/>
          <w:szCs w:val="24"/>
          <w:lang w:eastAsia="nb-NO"/>
        </w:rPr>
        <w:t>avfallshåndtering, energibruk, innkjøp og transport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:rsidR="009D0CAF" w:rsidRDefault="009D0CAF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7C4C7B" w:rsidRDefault="007C4C7B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Gjennom </w:t>
      </w:r>
      <w:r w:rsidR="009D0CAF">
        <w:rPr>
          <w:rFonts w:eastAsia="Times New Roman" w:cstheme="minorHAnsi"/>
          <w:color w:val="000000"/>
          <w:sz w:val="24"/>
          <w:szCs w:val="24"/>
          <w:lang w:eastAsia="nb-NO"/>
        </w:rPr>
        <w:t>miljøfyrtårn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sertifiseringen får vi også forutsetninger for å bidra til å oppnå FNs bærekraftmål nr. 8, 12 og 13. I praksis betyr dette: </w:t>
      </w:r>
    </w:p>
    <w:p w:rsidR="009D0CAF" w:rsidRDefault="009D0CAF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7C4C7B" w:rsidRPr="007C4C7B" w:rsidRDefault="007C4C7B" w:rsidP="007C4C7B">
      <w:pPr>
        <w:pStyle w:val="Listeavsnit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 w:rsidRPr="007C4C7B">
        <w:rPr>
          <w:rFonts w:eastAsia="Times New Roman" w:cstheme="minorHAnsi"/>
          <w:b/>
          <w:color w:val="000000"/>
          <w:sz w:val="24"/>
          <w:szCs w:val="24"/>
          <w:lang w:eastAsia="nb-NO"/>
        </w:rPr>
        <w:t>Bærekraftsmål</w:t>
      </w:r>
      <w:proofErr w:type="spellEnd"/>
      <w:r w:rsidRPr="007C4C7B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 8</w:t>
      </w:r>
      <w:r w:rsidRPr="007C4C7B">
        <w:rPr>
          <w:rFonts w:eastAsia="Times New Roman" w:cstheme="minorHAnsi"/>
          <w:color w:val="000000"/>
          <w:sz w:val="24"/>
          <w:szCs w:val="24"/>
          <w:lang w:eastAsia="nb-NO"/>
        </w:rPr>
        <w:t> om anst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endig arbeid og økonomisk vekst. M</w:t>
      </w:r>
      <w:r w:rsidRPr="007C4C7B">
        <w:rPr>
          <w:rFonts w:eastAsia="Times New Roman" w:cstheme="minorHAnsi"/>
          <w:color w:val="000000"/>
          <w:sz w:val="24"/>
          <w:szCs w:val="24"/>
          <w:lang w:eastAsia="nb-NO"/>
        </w:rPr>
        <w:t>iljøfyrtårn sertifisering inneholder delmål om å fremme et trygt og sikkert arbeidsmiljø.</w:t>
      </w:r>
    </w:p>
    <w:p w:rsidR="007C4C7B" w:rsidRPr="007C4C7B" w:rsidRDefault="007C4C7B" w:rsidP="007C4C7B">
      <w:pPr>
        <w:pStyle w:val="Listeavsnit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7C4C7B">
        <w:rPr>
          <w:rFonts w:eastAsia="Times New Roman" w:cstheme="minorHAnsi"/>
          <w:color w:val="000000"/>
          <w:sz w:val="24"/>
          <w:szCs w:val="24"/>
          <w:lang w:eastAsia="nb-NO"/>
        </w:rPr>
        <w:t>Mange sertifiseringskriterier kan kobles til </w:t>
      </w:r>
      <w:proofErr w:type="spellStart"/>
      <w:r w:rsidRPr="007C4C7B">
        <w:rPr>
          <w:rFonts w:eastAsia="Times New Roman" w:cstheme="minorHAnsi"/>
          <w:b/>
          <w:color w:val="000000"/>
          <w:sz w:val="24"/>
          <w:szCs w:val="24"/>
          <w:lang w:eastAsia="nb-NO"/>
        </w:rPr>
        <w:t>bærekraftsmål</w:t>
      </w:r>
      <w:proofErr w:type="spellEnd"/>
      <w:r w:rsidRPr="007C4C7B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 12</w:t>
      </w:r>
      <w:r w:rsidRPr="007C4C7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 om ansvarlig forbruk og produksjon. Her finnes delmål som virksomheter i stor grad kan påvirke direkte innen avfall/ombruk, håndtering og utslipp av kjemikalier, samt styring av </w:t>
      </w:r>
      <w:proofErr w:type="spellStart"/>
      <w:r w:rsidRPr="007C4C7B">
        <w:rPr>
          <w:rFonts w:eastAsia="Times New Roman" w:cstheme="minorHAnsi"/>
          <w:color w:val="000000"/>
          <w:sz w:val="24"/>
          <w:szCs w:val="24"/>
          <w:lang w:eastAsia="nb-NO"/>
        </w:rPr>
        <w:t>bærekraftsarbeidet</w:t>
      </w:r>
      <w:proofErr w:type="spellEnd"/>
      <w:r w:rsidRPr="007C4C7B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:rsidR="007C4C7B" w:rsidRPr="007C4C7B" w:rsidRDefault="007C4C7B" w:rsidP="007C4C7B">
      <w:pPr>
        <w:pStyle w:val="Listeavsnit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7C4C7B">
        <w:rPr>
          <w:rFonts w:eastAsia="Times New Roman" w:cstheme="minorHAnsi"/>
          <w:color w:val="000000"/>
          <w:sz w:val="24"/>
          <w:szCs w:val="24"/>
          <w:lang w:eastAsia="nb-NO"/>
        </w:rPr>
        <w:t>Miljøfyrtårn lager også klimaregnskap til sertifiserte virksomheter basert på deres innrapporterte data. Denne rapporteringen og bevisstgjøringen rundt direkte og indirekte utslipp av klimagasser er viktig for å nå </w:t>
      </w:r>
      <w:proofErr w:type="spellStart"/>
      <w:r w:rsidRPr="007C4C7B">
        <w:rPr>
          <w:rFonts w:eastAsia="Times New Roman" w:cstheme="minorHAnsi"/>
          <w:b/>
          <w:color w:val="000000"/>
          <w:sz w:val="24"/>
          <w:szCs w:val="24"/>
          <w:lang w:eastAsia="nb-NO"/>
        </w:rPr>
        <w:t>bærekraftsmål</w:t>
      </w:r>
      <w:proofErr w:type="spellEnd"/>
      <w:r w:rsidRPr="007C4C7B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 13;</w:t>
      </w:r>
      <w:r w:rsidRPr="007C4C7B">
        <w:rPr>
          <w:rFonts w:eastAsia="Times New Roman" w:cstheme="minorHAnsi"/>
          <w:color w:val="000000"/>
          <w:sz w:val="24"/>
          <w:szCs w:val="24"/>
          <w:lang w:eastAsia="nb-NO"/>
        </w:rPr>
        <w:t> Stoppe klimaendringene.</w:t>
      </w:r>
    </w:p>
    <w:p w:rsidR="00821EE3" w:rsidRDefault="00821EE3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21EE3" w:rsidRDefault="00821EE3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05851" w:rsidRPr="00805851" w:rsidRDefault="0040460D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>Triggers</w:t>
      </w:r>
      <w:r w:rsidR="00805851" w:rsidRPr="00805851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 xml:space="preserve"> påvirkning på miljø, mennesker og samfunn</w:t>
      </w:r>
    </w:p>
    <w:p w:rsidR="00582C72" w:rsidRDefault="00805851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FNs </w:t>
      </w:r>
      <w:proofErr w:type="spellStart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bærekraftsmål</w:t>
      </w:r>
      <w:proofErr w:type="spellEnd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er grunnlaget for vårt arbeid med å etablere </w:t>
      </w:r>
      <w:proofErr w:type="spellStart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bærekraftsagenda</w:t>
      </w:r>
      <w:proofErr w:type="spellEnd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Grunnprinsippene våre er knyttet opp mot de ni </w:t>
      </w:r>
      <w:proofErr w:type="spellStart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bærekraftsmålene</w:t>
      </w:r>
      <w:proofErr w:type="spellEnd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40460D">
        <w:rPr>
          <w:rFonts w:eastAsia="Times New Roman" w:cstheme="minorHAnsi"/>
          <w:color w:val="000000"/>
          <w:sz w:val="24"/>
          <w:szCs w:val="24"/>
          <w:lang w:eastAsia="nb-NO"/>
        </w:rPr>
        <w:t>Trigger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har vurdert som vesentlige i forhold til vår påvirkningskraft, og gir oss retning for hvordan vi skal jobbe strategisk og integrere bærekraft i r</w:t>
      </w:r>
      <w:r w:rsidR="003006E3">
        <w:rPr>
          <w:rFonts w:eastAsia="Times New Roman" w:cstheme="minorHAnsi"/>
          <w:color w:val="000000"/>
          <w:sz w:val="24"/>
          <w:szCs w:val="24"/>
          <w:lang w:eastAsia="nb-NO"/>
        </w:rPr>
        <w:t>espektive virksomhetsprosesser.</w:t>
      </w: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006E3" w:rsidRPr="003006E3" w:rsidRDefault="003006E3" w:rsidP="003006E3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05851" w:rsidRPr="00805851" w:rsidRDefault="00805851" w:rsidP="00805851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48"/>
          <w:szCs w:val="48"/>
          <w:lang w:eastAsia="nb-NO"/>
        </w:rPr>
      </w:pPr>
      <w:r w:rsidRPr="00805851">
        <w:rPr>
          <w:rFonts w:eastAsia="Times New Roman" w:cstheme="minorHAnsi"/>
          <w:color w:val="000000"/>
          <w:kern w:val="36"/>
          <w:sz w:val="48"/>
          <w:szCs w:val="48"/>
          <w:lang w:eastAsia="nb-NO"/>
        </w:rPr>
        <w:lastRenderedPageBreak/>
        <w:t>2 Generelt arbeid med aktsomhetsvurderinger</w:t>
      </w:r>
    </w:p>
    <w:p w:rsidR="00582C72" w:rsidRDefault="00582C72" w:rsidP="00805851">
      <w:pPr>
        <w:spacing w:after="0" w:line="240" w:lineRule="auto"/>
        <w:textAlignment w:val="baseline"/>
        <w:rPr>
          <w:rFonts w:eastAsia="Times New Roman" w:cstheme="minorHAnsi"/>
          <w:noProof/>
          <w:color w:val="000000"/>
          <w:sz w:val="24"/>
          <w:szCs w:val="24"/>
          <w:lang w:eastAsia="nb-NO"/>
        </w:rPr>
      </w:pPr>
    </w:p>
    <w:p w:rsidR="00805851" w:rsidRPr="0040460D" w:rsidRDefault="00582C72" w:rsidP="00805851">
      <w:pPr>
        <w:spacing w:after="0" w:line="240" w:lineRule="auto"/>
        <w:textAlignment w:val="baseline"/>
        <w:rPr>
          <w:rFonts w:eastAsia="Times New Roman" w:cstheme="minorHAnsi"/>
          <w:b/>
          <w:noProof/>
          <w:color w:val="000000"/>
          <w:sz w:val="24"/>
          <w:szCs w:val="24"/>
          <w:u w:val="single"/>
          <w:lang w:eastAsia="nb-NO"/>
        </w:rPr>
      </w:pPr>
      <w:r w:rsidRPr="0040460D">
        <w:rPr>
          <w:rFonts w:eastAsia="Times New Roman" w:cstheme="minorHAnsi"/>
          <w:b/>
          <w:noProof/>
          <w:color w:val="000000"/>
          <w:sz w:val="24"/>
          <w:szCs w:val="24"/>
          <w:u w:val="single"/>
          <w:lang w:eastAsia="nb-NO"/>
        </w:rPr>
        <w:t xml:space="preserve">Vårt samfunnsansvar: </w:t>
      </w:r>
    </w:p>
    <w:p w:rsidR="00582C72" w:rsidRPr="00805851" w:rsidRDefault="00482814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1D0EA4A3" wp14:editId="1D128BFF">
            <wp:extent cx="5760720" cy="35134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Arbeidet med aktsomhetsvurderinger er forankret i </w:t>
      </w:r>
      <w:r w:rsidR="00582C72">
        <w:rPr>
          <w:rFonts w:eastAsia="Times New Roman" w:cstheme="minorHAnsi"/>
          <w:color w:val="000000"/>
          <w:sz w:val="24"/>
          <w:szCs w:val="24"/>
          <w:lang w:eastAsia="nb-NO"/>
        </w:rPr>
        <w:t>Triggers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overordnede virksomhetsstrategi</w:t>
      </w:r>
      <w:r w:rsidR="009D0CAF">
        <w:rPr>
          <w:rFonts w:eastAsia="Times New Roman" w:cstheme="minorHAnsi"/>
          <w:color w:val="000000"/>
          <w:sz w:val="24"/>
          <w:szCs w:val="24"/>
          <w:lang w:eastAsia="nb-NO"/>
        </w:rPr>
        <w:t>, hvor Trigger skal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forebygge og forhindre hendelser med potensiale for negativ effekt på arbeidsforhold og menneskerettigheter. Videre involverer styringssystemet prosesser tilknyttet etisk fremferd for et ansvarlig næringsliv, samt leverandøroppfølging og </w:t>
      </w:r>
      <w:r w:rsidR="0040460D" w:rsidRPr="0040460D">
        <w:rPr>
          <w:rFonts w:eastAsia="Times New Roman" w:cstheme="minorHAnsi"/>
          <w:color w:val="000000"/>
          <w:sz w:val="24"/>
          <w:szCs w:val="24"/>
          <w:lang w:eastAsia="nb-NO"/>
        </w:rPr>
        <w:t>godkjenning.</w:t>
      </w:r>
    </w:p>
    <w:p w:rsidR="00B23705" w:rsidRPr="00805851" w:rsidRDefault="00B23705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05851" w:rsidRDefault="00805851" w:rsidP="0080585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</w:pPr>
      <w:r w:rsidRPr="0080585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2.1 I egen virksomhet </w:t>
      </w:r>
    </w:p>
    <w:p w:rsidR="00805851" w:rsidRPr="007A184E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lang w:eastAsia="nb-NO"/>
        </w:rPr>
      </w:pPr>
      <w:bookmarkStart w:id="0" w:name="_GoBack"/>
      <w:bookmarkEnd w:id="0"/>
      <w:r w:rsidRPr="007A184E">
        <w:rPr>
          <w:rFonts w:eastAsia="Times New Roman" w:cstheme="minorHAnsi"/>
          <w:b/>
          <w:i/>
          <w:color w:val="000000"/>
          <w:sz w:val="24"/>
          <w:szCs w:val="24"/>
          <w:lang w:eastAsia="nb-NO"/>
        </w:rPr>
        <w:t>Etiske retningslinjer - arbeidsforhold og menneskerettigheter: </w:t>
      </w:r>
    </w:p>
    <w:p w:rsidR="0040460D" w:rsidRPr="0040460D" w:rsidRDefault="0040460D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0460D">
        <w:rPr>
          <w:rFonts w:eastAsia="Times New Roman" w:cstheme="minorHAnsi"/>
          <w:color w:val="000000"/>
          <w:sz w:val="24"/>
          <w:szCs w:val="24"/>
          <w:lang w:eastAsia="nb-NO"/>
        </w:rPr>
        <w:t>En gang i året i ledermøtet skal alle a</w:t>
      </w:r>
      <w:r w:rsidR="00805851" w:rsidRPr="00805851">
        <w:rPr>
          <w:rFonts w:eastAsia="Times New Roman" w:cstheme="minorHAnsi"/>
          <w:color w:val="000000"/>
          <w:sz w:val="24"/>
          <w:szCs w:val="24"/>
          <w:lang w:eastAsia="nb-NO"/>
        </w:rPr>
        <w:t>dministrativt ansatte</w:t>
      </w:r>
      <w:r w:rsidRPr="0040460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få informasjon om forventningene til de ansatte når det gjelder f.eks. å hindre korrupsjon, diskriminering på grunn av kjønn eller legning, og trakassering. </w:t>
      </w:r>
    </w:p>
    <w:p w:rsidR="0040460D" w:rsidRPr="0040460D" w:rsidRDefault="0040460D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0460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For nyansatte vil ovennevnte informasjon også bli inkludert i opplæringsprogrammet «Ny i Trigger». Triggers holdninger og verdier skal formidles i opplæringen av nyansatte. «Ny i Trigger». Dette er vår «tiltakspakke» for å nå målsettingen om gode arbeidsforhold og etisk atferd. </w:t>
      </w:r>
    </w:p>
    <w:p w:rsid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Gjennom informasjon og holdningsarbeid reduseres risikoen for brudd på retningslinjene. </w:t>
      </w:r>
    </w:p>
    <w:p w:rsidR="007A184E" w:rsidRDefault="007A184E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05851" w:rsidRPr="00805851" w:rsidRDefault="00805851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lastRenderedPageBreak/>
        <w:t>2.2 I leverandørkjeden</w:t>
      </w:r>
    </w:p>
    <w:p w:rsidR="00D45C46" w:rsidRDefault="00582C72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0460D">
        <w:rPr>
          <w:rFonts w:eastAsia="Times New Roman" w:cstheme="minorHAnsi"/>
          <w:color w:val="000000"/>
          <w:sz w:val="24"/>
          <w:szCs w:val="24"/>
          <w:lang w:eastAsia="nb-NO"/>
        </w:rPr>
        <w:t>Triggers</w:t>
      </w:r>
      <w:r w:rsidR="00805851"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virksomhet </w:t>
      </w:r>
      <w:r w:rsidRPr="0040460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er basert i Norge, </w:t>
      </w:r>
      <w:r w:rsidR="00805851"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med tradisjon for et tillitsbasert arbeids- og næringsliv. Økende grad av internasjonalisering krever et endret fokus, og en endret risikovurdering. </w:t>
      </w:r>
      <w:r w:rsidR="00805851" w:rsidRPr="00B1710B">
        <w:rPr>
          <w:rFonts w:eastAsia="Times New Roman" w:cstheme="minorHAnsi"/>
          <w:color w:val="000000"/>
          <w:sz w:val="24"/>
          <w:szCs w:val="24"/>
          <w:lang w:eastAsia="nb-NO"/>
        </w:rPr>
        <w:t>For å sikre etterlevelse, har vi utarbeidet et spørreskjema, som inkluderer leverandørens e</w:t>
      </w:r>
      <w:r w:rsidR="00D45C46" w:rsidRPr="00B1710B">
        <w:rPr>
          <w:rFonts w:eastAsia="Times New Roman" w:cstheme="minorHAnsi"/>
          <w:color w:val="000000"/>
          <w:sz w:val="24"/>
          <w:szCs w:val="24"/>
          <w:lang w:eastAsia="nb-NO"/>
        </w:rPr>
        <w:t>genevaluering på</w:t>
      </w:r>
      <w:r w:rsidR="00B1710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relevante tema.</w:t>
      </w:r>
    </w:p>
    <w:p w:rsid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Egenevalueringen kan benyttes ved utvelgelse av leverandører, og for å forbedre eksisterende leverandører. </w:t>
      </w:r>
    </w:p>
    <w:p w:rsidR="0040460D" w:rsidRPr="00805851" w:rsidRDefault="0040460D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05851" w:rsidRPr="00805851" w:rsidRDefault="00805851" w:rsidP="0080585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2.3 Risikovurdering for brudd på aktuelle retningslinjer i egen virksomhet og i leverandørkjeden </w:t>
      </w:r>
    </w:p>
    <w:p w:rsid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Gjennom kartlegging og vurderinger</w:t>
      </w:r>
      <w:r w:rsidR="009048B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(aktsomhetsvurderinger)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jobber </w:t>
      </w:r>
      <w:r w:rsidR="00582C72">
        <w:rPr>
          <w:rFonts w:eastAsia="Times New Roman" w:cstheme="minorHAnsi"/>
          <w:color w:val="000000"/>
          <w:sz w:val="24"/>
          <w:szCs w:val="24"/>
          <w:lang w:eastAsia="nb-NO"/>
        </w:rPr>
        <w:t>Trigger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med håndtering av </w:t>
      </w:r>
      <w:proofErr w:type="spellStart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oppside</w:t>
      </w:r>
      <w:proofErr w:type="spellEnd"/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- og nedsiderisiko tilknyttet aktuelle interessenter og aktører. Gjennom dette arbeidet inngår kartlegging av eventuell fare for negative påvirkning av mennesker og miljø i verdikjeden med påfølgende behov for oppfølging og eventuell fare for brudd på akt</w:t>
      </w:r>
      <w:r w:rsidR="00582C72">
        <w:rPr>
          <w:rFonts w:eastAsia="Times New Roman" w:cstheme="minorHAnsi"/>
          <w:color w:val="000000"/>
          <w:sz w:val="24"/>
          <w:szCs w:val="24"/>
          <w:lang w:eastAsia="nb-NO"/>
        </w:rPr>
        <w:t>uelle retningslinjer internt i Trigger</w:t>
      </w: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i leverandørkjeden.</w:t>
      </w:r>
    </w:p>
    <w:p w:rsidR="00582C72" w:rsidRPr="00805851" w:rsidRDefault="00582C72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Trigger holder nå på med ovennevnte kartleggingsfase. </w:t>
      </w:r>
    </w:p>
    <w:p w:rsid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På bakgrunn av prosessen beskrevet ovenfor gjennomføres tiltak internt og eksternt.</w:t>
      </w:r>
    </w:p>
    <w:p w:rsidR="009048BE" w:rsidRPr="009048BE" w:rsidRDefault="009048BE" w:rsidP="009048BE">
      <w:pPr>
        <w:spacing w:before="100" w:beforeAutospacing="1" w:after="18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048BE">
        <w:rPr>
          <w:rFonts w:eastAsia="Times New Roman" w:cstheme="minorHAnsi"/>
          <w:color w:val="000000"/>
          <w:sz w:val="24"/>
          <w:szCs w:val="24"/>
          <w:lang w:eastAsia="nb-NO"/>
        </w:rPr>
        <w:t>Trigger skal publisere en årlig «redegjørelse» for ovennevnte arbeidet. Det skal skje innen 30. juni hvert år, første gang i 2023.</w:t>
      </w:r>
    </w:p>
    <w:p w:rsidR="0040460D" w:rsidRDefault="0040460D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05851" w:rsidRPr="00805851" w:rsidRDefault="00805851" w:rsidP="00805851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48"/>
          <w:szCs w:val="48"/>
          <w:lang w:eastAsia="nb-NO"/>
        </w:rPr>
      </w:pPr>
      <w:r w:rsidRPr="00805851">
        <w:rPr>
          <w:rFonts w:eastAsia="Times New Roman" w:cstheme="minorHAnsi"/>
          <w:color w:val="000000"/>
          <w:kern w:val="36"/>
          <w:sz w:val="48"/>
          <w:szCs w:val="48"/>
          <w:lang w:eastAsia="nb-NO"/>
        </w:rPr>
        <w:t>3 Informasjonskrav</w:t>
      </w:r>
    </w:p>
    <w:p w:rsidR="00805851" w:rsidRP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Fra 1. juli 2022 har interessenter rett til å kreve informasjon om hvordan virksomhetene som omfattes av åpenhetsloven håndterer negative konsekvenser på grunnleggende menneskerettigheter og anstendige arbeidsforhold. Dette kalles et informasjonskrav.</w:t>
      </w:r>
    </w:p>
    <w:p w:rsidR="00805851" w:rsidRPr="00805851" w:rsidRDefault="00805851" w:rsidP="00805851">
      <w:pPr>
        <w:spacing w:before="240"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>Virksomhetene må svare på slike informasjonskrav skriftlig og innen tre uker.</w:t>
      </w:r>
    </w:p>
    <w:p w:rsidR="00F74A1A" w:rsidRDefault="00805851" w:rsidP="001F490E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585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Interessenter kan sende sine </w:t>
      </w:r>
      <w:r w:rsidRPr="001F490E">
        <w:rPr>
          <w:rFonts w:eastAsia="Times New Roman" w:cstheme="minorHAnsi"/>
          <w:color w:val="000000"/>
          <w:sz w:val="24"/>
          <w:szCs w:val="24"/>
          <w:lang w:eastAsia="nb-NO"/>
        </w:rPr>
        <w:t>informasjonskrav til </w:t>
      </w:r>
      <w:hyperlink r:id="rId8" w:history="1">
        <w:r w:rsidR="001F490E" w:rsidRPr="00C761E3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post@trigger-as.no</w:t>
        </w:r>
      </w:hyperlink>
    </w:p>
    <w:p w:rsidR="001F490E" w:rsidRPr="00805851" w:rsidRDefault="001F490E" w:rsidP="001F490E">
      <w:pPr>
        <w:spacing w:line="240" w:lineRule="auto"/>
        <w:textAlignment w:val="baseline"/>
        <w:rPr>
          <w:rFonts w:cstheme="minorHAnsi"/>
        </w:rPr>
      </w:pPr>
    </w:p>
    <w:sectPr w:rsidR="001F490E" w:rsidRPr="0080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3A3"/>
    <w:multiLevelType w:val="multilevel"/>
    <w:tmpl w:val="644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C28D3"/>
    <w:multiLevelType w:val="hybridMultilevel"/>
    <w:tmpl w:val="A6A22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945"/>
    <w:multiLevelType w:val="multilevel"/>
    <w:tmpl w:val="9520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41B40"/>
    <w:multiLevelType w:val="multilevel"/>
    <w:tmpl w:val="3BB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1482E"/>
    <w:multiLevelType w:val="multilevel"/>
    <w:tmpl w:val="9A0C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51"/>
    <w:rsid w:val="000639AB"/>
    <w:rsid w:val="001F490E"/>
    <w:rsid w:val="003006E3"/>
    <w:rsid w:val="0040460D"/>
    <w:rsid w:val="00482814"/>
    <w:rsid w:val="00582C72"/>
    <w:rsid w:val="00597854"/>
    <w:rsid w:val="007A184E"/>
    <w:rsid w:val="007C4C7B"/>
    <w:rsid w:val="007E78E8"/>
    <w:rsid w:val="00805851"/>
    <w:rsid w:val="00821EE3"/>
    <w:rsid w:val="009048BE"/>
    <w:rsid w:val="009D0CAF"/>
    <w:rsid w:val="00B1710B"/>
    <w:rsid w:val="00B23705"/>
    <w:rsid w:val="00D45C46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6D59"/>
  <w15:chartTrackingRefBased/>
  <w15:docId w15:val="{70EA4C72-C55D-4237-AD4B-BDE13784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460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C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rigger-a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903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Simlenes</dc:creator>
  <cp:keywords/>
  <dc:description/>
  <cp:lastModifiedBy>Amanda Simlenes</cp:lastModifiedBy>
  <cp:revision>12</cp:revision>
  <dcterms:created xsi:type="dcterms:W3CDTF">2023-01-10T10:52:00Z</dcterms:created>
  <dcterms:modified xsi:type="dcterms:W3CDTF">2023-01-13T08:54:00Z</dcterms:modified>
</cp:coreProperties>
</file>